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9AA7D" w14:textId="0505FEE0" w:rsidR="00921FE3" w:rsidRPr="005061DC" w:rsidRDefault="005061DC" w:rsidP="001D5F6F">
      <w:pPr>
        <w:spacing w:after="120" w:line="360" w:lineRule="auto"/>
        <w:ind w:left="567" w:right="1695"/>
        <w:rPr>
          <w:rFonts w:ascii="Arial" w:hAnsi="Arial" w:cs="Arial"/>
          <w:b/>
          <w:bCs/>
          <w:sz w:val="28"/>
          <w:szCs w:val="28"/>
        </w:rPr>
      </w:pPr>
      <w:r>
        <w:rPr>
          <w:rStyle w:val="Fett"/>
          <w:rFonts w:asciiTheme="minorHAnsi" w:hAnsiTheme="minorHAnsi"/>
          <w:sz w:val="28"/>
        </w:rPr>
        <w:t>Nuevo rodillo de anillo elástico doble AMAZONE DFW 580 para equipos acoplados</w:t>
      </w:r>
    </w:p>
    <w:p w14:paraId="3DB13CF0" w14:textId="09CF2C2C" w:rsidR="004A4E71" w:rsidRDefault="004A4E71" w:rsidP="00921FE3">
      <w:pPr>
        <w:spacing w:after="120" w:line="360" w:lineRule="auto"/>
        <w:ind w:left="567" w:right="1695"/>
        <w:rPr>
          <w:rFonts w:ascii="Arial" w:eastAsia="Arial" w:hAnsi="Arial" w:cs="Arial"/>
        </w:rPr>
      </w:pPr>
    </w:p>
    <w:p w14:paraId="04603C46" w14:textId="4CFF881D" w:rsidR="005061DC" w:rsidRPr="005061DC" w:rsidRDefault="005061DC" w:rsidP="005061DC">
      <w:pPr>
        <w:spacing w:after="120" w:line="360" w:lineRule="auto"/>
        <w:ind w:left="567" w:right="1695"/>
        <w:rPr>
          <w:rFonts w:ascii="Arial" w:eastAsia="Arial" w:hAnsi="Arial" w:cs="Arial"/>
        </w:rPr>
      </w:pPr>
      <w:r>
        <w:rPr>
          <w:rFonts w:ascii="Arial" w:hAnsi="Arial"/>
        </w:rPr>
        <w:t>Con el rodillo de anillo elástico doble DFW 580, AMAZONE amplía la oferta de rodillos de arrastre para los cultivadores de acople Cenio y Cenius, así como para las gradas compactas de discos acopladas Catros. Gracias a su diseño abierto, con una distancia entre líneas de 280 mm, el nuevo rodillo cubre un amplio espectro de aplicaciones y ofrece una alta seguridad operativa tanto en suelos arenosos como arcillosos.</w:t>
      </w:r>
    </w:p>
    <w:p w14:paraId="7AF50EE3" w14:textId="266B606F" w:rsidR="005061DC" w:rsidRPr="005061DC" w:rsidRDefault="005061DC" w:rsidP="005061DC">
      <w:pPr>
        <w:spacing w:after="120" w:line="360" w:lineRule="auto"/>
        <w:ind w:left="567" w:right="1695"/>
        <w:rPr>
          <w:rFonts w:ascii="Arial" w:eastAsia="Arial" w:hAnsi="Arial" w:cs="Arial"/>
        </w:rPr>
      </w:pPr>
      <w:r>
        <w:rPr>
          <w:rFonts w:ascii="Arial" w:hAnsi="Arial"/>
        </w:rPr>
        <w:t xml:space="preserve">El DFW 580, gracias a sus anillos de elasticidad continua, genera un alto porcentaje de tierra fina y, al mismo tiempo, garantiza una buena recompactación en superficies de tierra suelta. Con un diámetro reducido del tubo del rodillo de 140 mm y un diámetro exterior de 580 mm, el rodillo de anillo elástico doble ofrece un excelente paso en terrenos arenosos ligeros. La disposición escalonada de los anillos garantiza el accionamiento propio seguro del rodillo. Esta combinación hace que el rodillo de anillo elástico doble sea muy fiable, especialmente en suelos ligeros. </w:t>
      </w:r>
    </w:p>
    <w:p w14:paraId="264902EB" w14:textId="0DF0B1F7" w:rsidR="005061DC" w:rsidRPr="005061DC" w:rsidRDefault="005061DC" w:rsidP="005061DC">
      <w:pPr>
        <w:spacing w:after="120" w:line="360" w:lineRule="auto"/>
        <w:ind w:left="567" w:right="1695"/>
        <w:rPr>
          <w:rFonts w:ascii="Arial" w:eastAsia="Arial" w:hAnsi="Arial" w:cs="Arial"/>
        </w:rPr>
      </w:pPr>
      <w:r>
        <w:rPr>
          <w:rFonts w:ascii="Arial" w:hAnsi="Arial"/>
        </w:rPr>
        <w:t xml:space="preserve">Los anillos elásticos cerrados ofrecen, en particular en los equipos acoplados, la ventaja de que no se obstruyen con tierra, por lo que no aumentan el peso del rodillo. Además, los anillos cerrados reducen el arrastre de tierra y semillas de malas hierbas, lo que contribuye a mejorar la higiene del campo al labrar en zonas diferentes. Otra ventaja es la excelente eficacia de limpieza que se consigue gracias a la acción de resorte constante de los anillos. Esto permite un uso fiable incluso en suelos húmedos y adherentes. </w:t>
      </w:r>
    </w:p>
    <w:p w14:paraId="5A01ACF0" w14:textId="159CE08C" w:rsidR="005061DC" w:rsidRDefault="005061DC" w:rsidP="005061DC">
      <w:pPr>
        <w:spacing w:after="120" w:line="360" w:lineRule="auto"/>
        <w:ind w:left="567" w:right="1695"/>
        <w:rPr>
          <w:rFonts w:ascii="Arial" w:eastAsia="Arial" w:hAnsi="Arial" w:cs="Arial"/>
        </w:rPr>
      </w:pPr>
      <w:r>
        <w:rPr>
          <w:rFonts w:ascii="Arial" w:hAnsi="Arial"/>
        </w:rPr>
        <w:t>El sistema de rastras opcional permite obtener un desmenuzamiento aún más fino y un nivelado más intenso del suelo. Al mismo tiempo, el sistema de rastras favorece un mejor control de las malas hierbas, ya que desentierra los brotes de cereales y los deja en la superficie del suelo, donde pueden secarse.</w:t>
      </w:r>
    </w:p>
    <w:p w14:paraId="49A395F9" w14:textId="77777777" w:rsidR="00E52C13" w:rsidRPr="005061DC" w:rsidRDefault="00E52C13" w:rsidP="005061DC">
      <w:pPr>
        <w:spacing w:after="120" w:line="360" w:lineRule="auto"/>
        <w:ind w:left="567" w:right="1695"/>
        <w:rPr>
          <w:rFonts w:ascii="Arial" w:eastAsia="Arial" w:hAnsi="Arial" w:cs="Arial"/>
        </w:rPr>
      </w:pPr>
    </w:p>
    <w:p w14:paraId="53301F6C" w14:textId="77777777" w:rsidR="00C44956" w:rsidRDefault="00C44956">
      <w:pPr>
        <w:rPr>
          <w:rFonts w:ascii="Arial" w:eastAsia="Arial" w:hAnsi="Arial" w:cs="Arial"/>
          <w:b/>
          <w:bCs/>
        </w:rPr>
      </w:pPr>
      <w:r>
        <w:br w:type="page"/>
      </w:r>
    </w:p>
    <w:p w14:paraId="0D545C8A" w14:textId="290580EF" w:rsidR="005061DC" w:rsidRPr="005061DC" w:rsidRDefault="005061DC" w:rsidP="005061DC">
      <w:pPr>
        <w:spacing w:after="120" w:line="360" w:lineRule="auto"/>
        <w:ind w:left="567" w:right="1695"/>
        <w:rPr>
          <w:rFonts w:ascii="Arial" w:eastAsia="Arial" w:hAnsi="Arial" w:cs="Arial"/>
        </w:rPr>
      </w:pPr>
      <w:r>
        <w:rPr>
          <w:rFonts w:ascii="Arial" w:hAnsi="Arial"/>
          <w:b/>
        </w:rPr>
        <w:lastRenderedPageBreak/>
        <w:t>Resumen de las ventajas:</w:t>
      </w:r>
    </w:p>
    <w:p w14:paraId="537BA438" w14:textId="1D365BC4" w:rsidR="007639FE" w:rsidRDefault="005061DC" w:rsidP="005061DC">
      <w:pPr>
        <w:spacing w:after="120" w:line="360" w:lineRule="auto"/>
        <w:ind w:left="567" w:right="1695"/>
        <w:rPr>
          <w:rFonts w:ascii="Arial" w:hAnsi="Arial" w:cs="Arial"/>
          <w:bCs/>
        </w:rPr>
      </w:pPr>
      <w:r>
        <w:rPr>
          <w:rFonts w:ascii="Arial" w:hAnsi="Arial"/>
        </w:rPr>
        <w:t>• Buenas propiedades de rodadura gracias al diámetro de los rodillos de 580 mm</w:t>
      </w:r>
      <w:r>
        <w:rPr>
          <w:rFonts w:ascii="Arial" w:hAnsi="Arial"/>
        </w:rPr>
        <w:br/>
        <w:t>• Elevada capacidad de carga gracias a los 2 cuerpos de rodillo y a los anillos elásticos estables</w:t>
      </w:r>
      <w:r>
        <w:rPr>
          <w:rFonts w:ascii="Arial" w:hAnsi="Arial"/>
        </w:rPr>
        <w:br/>
        <w:t>• Apto para diferentes tipos de suelo, desde arenosos hasta arcillosos</w:t>
      </w:r>
      <w:r>
        <w:rPr>
          <w:rFonts w:ascii="Arial" w:hAnsi="Arial"/>
        </w:rPr>
        <w:br/>
        <w:t>• Recompactación profunda con una superficie de tierra suelta al mismo tiempo</w:t>
      </w:r>
      <w:r>
        <w:rPr>
          <w:rFonts w:ascii="Arial" w:hAnsi="Arial"/>
        </w:rPr>
        <w:br/>
        <w:t>• Excelente efecto desmenuzador y muy buenas propiedades de limpieza gracias a los anillos elásticos permanentes</w:t>
      </w:r>
    </w:p>
    <w:p w14:paraId="4957DACD" w14:textId="77777777" w:rsidR="007639FE" w:rsidRDefault="007639FE" w:rsidP="007639FE">
      <w:pPr>
        <w:spacing w:after="120" w:line="360" w:lineRule="auto"/>
        <w:ind w:left="567" w:right="1695"/>
        <w:rPr>
          <w:rFonts w:ascii="Arial" w:hAnsi="Arial" w:cs="Arial"/>
          <w:bCs/>
        </w:rPr>
      </w:pPr>
    </w:p>
    <w:p w14:paraId="4A71B7E0" w14:textId="5D2367B3" w:rsidR="007639FE" w:rsidRDefault="00C44956" w:rsidP="007639FE">
      <w:pPr>
        <w:spacing w:after="120" w:line="360" w:lineRule="auto"/>
        <w:ind w:left="567" w:right="1695"/>
        <w:rPr>
          <w:rFonts w:ascii="Arial" w:hAnsi="Arial" w:cs="Arial"/>
          <w:bCs/>
        </w:rPr>
      </w:pPr>
      <w:r>
        <w:rPr>
          <w:rFonts w:ascii="Arial" w:hAnsi="Arial"/>
          <w:noProof/>
        </w:rPr>
        <w:drawing>
          <wp:inline distT="0" distB="0" distL="0" distR="0" wp14:anchorId="70150CED" wp14:editId="09980BB3">
            <wp:extent cx="5486400" cy="3657600"/>
            <wp:effectExtent l="0" t="0" r="0" b="0"/>
            <wp:docPr id="1617958193"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3657600"/>
                    </a:xfrm>
                    <a:prstGeom prst="rect">
                      <a:avLst/>
                    </a:prstGeom>
                    <a:noFill/>
                    <a:ln>
                      <a:noFill/>
                    </a:ln>
                  </pic:spPr>
                </pic:pic>
              </a:graphicData>
            </a:graphic>
          </wp:inline>
        </w:drawing>
      </w:r>
    </w:p>
    <w:p w14:paraId="3FB982C0" w14:textId="77777777" w:rsidR="00C44956" w:rsidRDefault="00C44956" w:rsidP="007639FE">
      <w:pPr>
        <w:spacing w:after="120" w:line="360" w:lineRule="auto"/>
        <w:ind w:left="567" w:right="1695"/>
        <w:rPr>
          <w:rFonts w:ascii="Arial" w:hAnsi="Arial" w:cs="Arial"/>
          <w:bCs/>
        </w:rPr>
      </w:pPr>
    </w:p>
    <w:p w14:paraId="5C2AB550" w14:textId="77777777" w:rsidR="002D3766" w:rsidRDefault="002D3766" w:rsidP="002D3766">
      <w:pPr>
        <w:spacing w:after="120" w:line="360" w:lineRule="auto"/>
        <w:ind w:left="567" w:right="1695"/>
        <w:rPr>
          <w:rFonts w:ascii="Arial" w:hAnsi="Arial" w:cs="Arial"/>
          <w:bCs/>
        </w:rPr>
      </w:pPr>
      <w:r>
        <w:rPr>
          <w:rStyle w:val="Fett"/>
          <w:rFonts w:asciiTheme="minorHAnsi" w:eastAsiaTheme="majorEastAsia" w:hAnsiTheme="minorHAnsi" w:cstheme="minorHAnsi"/>
          <w:noProof/>
          <w:sz w:val="28"/>
          <w:szCs w:val="28"/>
        </w:rPr>
        <w:lastRenderedPageBreak/>
        <w:drawing>
          <wp:inline distT="0" distB="0" distL="0" distR="0" wp14:anchorId="4E88F1F8" wp14:editId="76B796A0">
            <wp:extent cx="4572000" cy="3362325"/>
            <wp:effectExtent l="0" t="0" r="0" b="9525"/>
            <wp:docPr id="491630877"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3362325"/>
                    </a:xfrm>
                    <a:prstGeom prst="rect">
                      <a:avLst/>
                    </a:prstGeom>
                    <a:noFill/>
                    <a:ln>
                      <a:noFill/>
                    </a:ln>
                  </pic:spPr>
                </pic:pic>
              </a:graphicData>
            </a:graphic>
          </wp:inline>
        </w:drawing>
      </w:r>
    </w:p>
    <w:p w14:paraId="6D7AB80B" w14:textId="3BA118BC" w:rsidR="002D3766" w:rsidRDefault="002D3766" w:rsidP="002D3766">
      <w:pPr>
        <w:spacing w:after="120" w:line="360" w:lineRule="auto"/>
        <w:ind w:left="567" w:right="1695"/>
        <w:rPr>
          <w:rFonts w:ascii="Arial" w:hAnsi="Arial" w:cs="Arial"/>
          <w:bCs/>
        </w:rPr>
      </w:pPr>
    </w:p>
    <w:p w14:paraId="17F3731D" w14:textId="77777777" w:rsidR="002D3766" w:rsidRDefault="002D3766" w:rsidP="002D3766">
      <w:pPr>
        <w:spacing w:after="120" w:line="360" w:lineRule="auto"/>
        <w:ind w:left="567" w:right="1695"/>
        <w:rPr>
          <w:rFonts w:ascii="Arial" w:hAnsi="Arial" w:cs="Arial"/>
          <w:bCs/>
        </w:rPr>
      </w:pPr>
      <w:r>
        <w:rPr>
          <w:rFonts w:ascii="Arial" w:hAnsi="Arial" w:cs="Arial"/>
          <w:bCs/>
          <w:noProof/>
        </w:rPr>
        <w:drawing>
          <wp:inline distT="0" distB="0" distL="0" distR="0" wp14:anchorId="7C1A68AA" wp14:editId="1C2E3B5E">
            <wp:extent cx="4572000" cy="3436620"/>
            <wp:effectExtent l="0" t="0" r="0" b="0"/>
            <wp:docPr id="1407674104"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3436620"/>
                    </a:xfrm>
                    <a:prstGeom prst="rect">
                      <a:avLst/>
                    </a:prstGeom>
                    <a:noFill/>
                    <a:ln>
                      <a:noFill/>
                    </a:ln>
                  </pic:spPr>
                </pic:pic>
              </a:graphicData>
            </a:graphic>
          </wp:inline>
        </w:drawing>
      </w:r>
    </w:p>
    <w:p w14:paraId="7193CF69" w14:textId="29983154" w:rsidR="002D3766" w:rsidRDefault="002D3766" w:rsidP="002D3766">
      <w:pPr>
        <w:spacing w:after="120" w:line="360" w:lineRule="auto"/>
        <w:ind w:left="567" w:right="1695"/>
        <w:rPr>
          <w:rFonts w:ascii="Arial" w:hAnsi="Arial" w:cs="Arial"/>
          <w:bCs/>
        </w:rPr>
      </w:pPr>
    </w:p>
    <w:p w14:paraId="7098AB72" w14:textId="77777777" w:rsidR="00C44956" w:rsidRDefault="00C44956" w:rsidP="007639FE">
      <w:pPr>
        <w:spacing w:after="120" w:line="360" w:lineRule="auto"/>
        <w:ind w:left="567" w:right="1695"/>
        <w:rPr>
          <w:rFonts w:ascii="Arial" w:hAnsi="Arial" w:cs="Arial"/>
          <w:bCs/>
        </w:rPr>
      </w:pPr>
    </w:p>
    <w:p w14:paraId="07A7D835" w14:textId="77777777" w:rsidR="004A4E71" w:rsidRDefault="004A4E71">
      <w:pPr>
        <w:rPr>
          <w:rFonts w:ascii="Arial" w:hAnsi="Arial" w:cs="Arial"/>
          <w:bCs/>
        </w:rPr>
      </w:pPr>
      <w:r>
        <w:br w:type="page"/>
      </w:r>
    </w:p>
    <w:p w14:paraId="4D1E15D6"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Las figuras, el contenido y los datos referentes a los datos técnicos están sujetos a modificación y pueden diferir en función del equipamiento. Deben cumplirse las disposiciones aplicables del código de circulación propio de cada país, por lo que puede ser necesaria una autorización especial. Cabe comprobar las cargas sobre los ejes y el peso total del tractor admisibles. No todas las posibilidades de combinación enumeradas pueden realizarse con todas las marcas de tractores.</w:t>
      </w:r>
    </w:p>
    <w:p w14:paraId="16388F82" w14:textId="77777777" w:rsidR="0006424B" w:rsidRDefault="0006424B" w:rsidP="0006424B">
      <w:pPr>
        <w:tabs>
          <w:tab w:val="left" w:pos="3550"/>
        </w:tabs>
        <w:spacing w:line="360" w:lineRule="auto"/>
        <w:ind w:left="567" w:right="1128"/>
        <w:rPr>
          <w:rFonts w:ascii="Arial" w:hAnsi="Arial" w:cs="Arial"/>
          <w:b/>
          <w:bCs/>
          <w:color w:val="808080" w:themeColor="background1" w:themeShade="80"/>
          <w:sz w:val="20"/>
          <w:szCs w:val="20"/>
        </w:rPr>
      </w:pPr>
    </w:p>
    <w:p w14:paraId="12E61CC3" w14:textId="77777777" w:rsidR="0006424B" w:rsidRPr="00D27732" w:rsidRDefault="0006424B" w:rsidP="0006424B">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Acerca de AMAZONE</w:t>
      </w:r>
    </w:p>
    <w:p w14:paraId="20EA109A" w14:textId="34F6811B" w:rsidR="0006424B" w:rsidRPr="00E12CE4" w:rsidRDefault="0006424B" w:rsidP="0006424B">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con sede en Hasbergen-Gaste, C. P. 49205, fabrica máquinas agrícolas y máquinas municipales. La empresa, gestionada por sus propietarios, cuenta con cerca de 2700 empleados distribuidos entre 8 plantas de producción, el Global Parts Center, el Global Machinery Center y 11 sucursales de ventas. La gama de maquinaria agrícola incluye tratamiento del suelo, sembradoras, abonadoras, equipos de protección de cultivos y tecnología de azada. Basándose en estas competencias clave, AMAZONE es hoy el especialista agrícola en “producción de cultivos inteligente”. AMAZONE también ofrece máquinas municipales versátiles para el mantenimiento de parques y superficies verdes, así como para el servicio de invierno. Más información: </w:t>
      </w:r>
      <w:hyperlink r:id="rId11" w:history="1">
        <w:r w:rsidR="002D3766" w:rsidRPr="00594C1B">
          <w:rPr>
            <w:rStyle w:val="Hyperlink"/>
            <w:rFonts w:ascii="Arial" w:hAnsi="Arial"/>
            <w:sz w:val="20"/>
          </w:rPr>
          <w:t>www.amazone.net</w:t>
        </w:r>
      </w:hyperlink>
    </w:p>
    <w:p w14:paraId="4E8B9A6B" w14:textId="77777777" w:rsidR="0006424B" w:rsidRDefault="0006424B" w:rsidP="0006424B">
      <w:pPr>
        <w:tabs>
          <w:tab w:val="left" w:pos="3550"/>
        </w:tabs>
        <w:spacing w:line="360" w:lineRule="auto"/>
        <w:ind w:left="567" w:right="1128"/>
      </w:pPr>
      <w:r>
        <w:rPr>
          <w:noProof/>
          <w:color w:val="0563C1"/>
        </w:rPr>
        <w:drawing>
          <wp:inline distT="0" distB="0" distL="0" distR="0" wp14:anchorId="414511C4" wp14:editId="11C774F5">
            <wp:extent cx="241300" cy="241300"/>
            <wp:effectExtent l="0" t="0" r="6350" b="6350"/>
            <wp:docPr id="13" name="Grafik 13" descr="Ein Bild, das Symbol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BDE8BEF" wp14:editId="13AB1AC1">
            <wp:extent cx="241300" cy="241300"/>
            <wp:effectExtent l="0" t="0" r="6350" b="6350"/>
            <wp:docPr id="12" name="Grafik 12"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62E2A2B" wp14:editId="5414751C">
            <wp:extent cx="241300" cy="241300"/>
            <wp:effectExtent l="0" t="0" r="6350" b="6350"/>
            <wp:docPr id="11" name="Grafik 11" descr="Ein Bild, das Kreis, Design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FDD8392" wp14:editId="600D4E0E">
            <wp:extent cx="241300" cy="241300"/>
            <wp:effectExtent l="0" t="0" r="6350" b="6350"/>
            <wp:docPr id="10" name="Grafik 10" descr="Ein Bild, das Symbol, Kreis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9785D01" wp14:editId="1994DB1D">
            <wp:extent cx="241300" cy="241300"/>
            <wp:effectExtent l="0" t="0" r="6350" b="6350"/>
            <wp:docPr id="7" name="Grafik 7" descr="Ein Bild, das Text, Symbol, Design enthält.&#10;&#10;KI-generierte Inhalte können fehlerhaft sein.">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5CAFD6BB" w14:textId="77777777" w:rsidR="00A42ED2" w:rsidRDefault="00A42ED2" w:rsidP="00A42ED2">
      <w:pPr>
        <w:spacing w:after="120" w:line="360" w:lineRule="auto"/>
        <w:ind w:left="567" w:right="1695"/>
        <w:rPr>
          <w:rFonts w:ascii="Arial" w:hAnsi="Arial" w:cs="Arial"/>
          <w:bCs/>
        </w:rPr>
      </w:pPr>
    </w:p>
    <w:sectPr w:rsidR="00A42ED2" w:rsidSect="00C7362D">
      <w:headerReference w:type="default" r:id="rId27"/>
      <w:footerReference w:type="default" r:id="rId28"/>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F93D5" w14:textId="77777777" w:rsidR="00393725" w:rsidRDefault="00393725">
      <w:r>
        <w:separator/>
      </w:r>
    </w:p>
  </w:endnote>
  <w:endnote w:type="continuationSeparator" w:id="0">
    <w:p w14:paraId="7F4DDB0C" w14:textId="77777777" w:rsidR="00393725" w:rsidRDefault="00393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AE547"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AAE7D6D"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3AAE7D6D"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998294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720F7A0"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0E3FEE7"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Co. KG.   Am Amazonenwerk 9–13 · D-49205 Hasbergen-Gaste</w:t>
                          </w:r>
                        </w:p>
                        <w:p w14:paraId="75B6CD6A" w14:textId="19EE826A"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w:t>
                          </w:r>
                          <w:r w:rsidR="002D3766">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70E3FEE7"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Co. KG.   Am Amazonenwerk 9–13 · D-49205 Hasbergen-Gaste</w:t>
                    </w:r>
                  </w:p>
                  <w:p w14:paraId="75B6CD6A" w14:textId="19EE826A"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w:t>
                    </w:r>
                    <w:r w:rsidR="002D3766">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2F13D" w14:textId="77777777" w:rsidR="00393725" w:rsidRDefault="00393725">
      <w:r>
        <w:separator/>
      </w:r>
    </w:p>
  </w:footnote>
  <w:footnote w:type="continuationSeparator" w:id="0">
    <w:p w14:paraId="04EEA5AF" w14:textId="77777777" w:rsidR="00393725" w:rsidRDefault="00393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4AEA6"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A67B441" wp14:editId="177AEBA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665D8F" w14:textId="5AD30838"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Nota de prensa ju</w:t>
                          </w:r>
                          <w:r w:rsidR="00B56539">
                            <w:rPr>
                              <w:rFonts w:ascii="Arial" w:hAnsi="Arial"/>
                              <w:color w:val="FFFFFF" w:themeColor="background1"/>
                              <w:sz w:val="28"/>
                            </w:rPr>
                            <w:t>l</w:t>
                          </w:r>
                          <w:r>
                            <w:rPr>
                              <w:rFonts w:ascii="Arial" w:hAnsi="Arial"/>
                              <w:color w:val="FFFFFF" w:themeColor="background1"/>
                              <w:sz w:val="28"/>
                            </w:rPr>
                            <w:t>io de 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26665D8F" w14:textId="5AD30838"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Nota de prensa ju</w:t>
                    </w:r>
                    <w:r w:rsidR="00B56539">
                      <w:rPr>
                        <w:rFonts w:ascii="Arial" w:hAnsi="Arial"/>
                        <w:color w:val="FFFFFF" w:themeColor="background1"/>
                        <w:sz w:val="28"/>
                      </w:rPr>
                      <w:t>l</w:t>
                    </w:r>
                    <w:r>
                      <w:rPr>
                        <w:rFonts w:ascii="Arial" w:hAnsi="Arial"/>
                        <w:color w:val="FFFFFF" w:themeColor="background1"/>
                        <w:sz w:val="28"/>
                      </w:rPr>
                      <w:t>io de 2026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61AEDE19" wp14:editId="0C8B580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839C14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58BCAA15" wp14:editId="58D5C18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C70C023"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4A4BB6F" w14:textId="77777777" w:rsidR="005E0980" w:rsidRPr="00583760" w:rsidRDefault="005E0980" w:rsidP="006F7755">
                          <w:pPr>
                            <w:ind w:left="142"/>
                            <w:rPr>
                              <w:rFonts w:ascii="Arial" w:hAnsi="Arial"/>
                              <w:b/>
                              <w:color w:val="FFFFFF"/>
                              <w:sz w:val="26"/>
                            </w:rPr>
                          </w:pPr>
                          <w:r>
                            <w:rPr>
                              <w:rFonts w:ascii="Arial" w:hAnsi="Arial"/>
                              <w:b/>
                              <w:color w:val="FFFFFF"/>
                              <w:sz w:val="26"/>
                            </w:rPr>
                            <w:t>Nota de prensa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24A4BB6F" w14:textId="77777777" w:rsidR="005E0980" w:rsidRPr="00583760" w:rsidRDefault="005E0980" w:rsidP="006F7755">
                    <w:pPr>
                      <w:ind w:left="142"/>
                      <w:rPr>
                        <w:rFonts w:ascii="Arial" w:hAnsi="Arial"/>
                        <w:b/>
                        <w:color w:val="FFFFFF"/>
                        <w:sz w:val="26"/>
                      </w:rPr>
                    </w:pPr>
                    <w:r>
                      <w:rPr>
                        <w:rFonts w:ascii="Arial" w:hAnsi="Arial"/>
                        <w:b/>
                        <w:color w:val="FFFFFF"/>
                        <w:sz w:val="26"/>
                      </w:rPr>
                      <w:t>Nota de prensa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1DC"/>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24B"/>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0AEA"/>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060"/>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2C06"/>
    <w:rsid w:val="00185E00"/>
    <w:rsid w:val="00187777"/>
    <w:rsid w:val="00187DF2"/>
    <w:rsid w:val="001926C2"/>
    <w:rsid w:val="00194AE4"/>
    <w:rsid w:val="0019571A"/>
    <w:rsid w:val="001A0746"/>
    <w:rsid w:val="001A09C4"/>
    <w:rsid w:val="001A35CD"/>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28"/>
    <w:rsid w:val="002A71E4"/>
    <w:rsid w:val="002B48D1"/>
    <w:rsid w:val="002B600B"/>
    <w:rsid w:val="002B6601"/>
    <w:rsid w:val="002B6C23"/>
    <w:rsid w:val="002B6F0E"/>
    <w:rsid w:val="002B7690"/>
    <w:rsid w:val="002B7843"/>
    <w:rsid w:val="002B7E60"/>
    <w:rsid w:val="002C1CA3"/>
    <w:rsid w:val="002C29BD"/>
    <w:rsid w:val="002C3B05"/>
    <w:rsid w:val="002C7462"/>
    <w:rsid w:val="002D3766"/>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3725"/>
    <w:rsid w:val="00394C3D"/>
    <w:rsid w:val="00395BAA"/>
    <w:rsid w:val="003A0758"/>
    <w:rsid w:val="003A0F8B"/>
    <w:rsid w:val="003A1DBE"/>
    <w:rsid w:val="003A3ADD"/>
    <w:rsid w:val="003A5336"/>
    <w:rsid w:val="003A62C5"/>
    <w:rsid w:val="003A6A0F"/>
    <w:rsid w:val="003B05A5"/>
    <w:rsid w:val="003B1CDE"/>
    <w:rsid w:val="003B4998"/>
    <w:rsid w:val="003B4C18"/>
    <w:rsid w:val="003B6008"/>
    <w:rsid w:val="003C0AFD"/>
    <w:rsid w:val="003C18DD"/>
    <w:rsid w:val="003C19B9"/>
    <w:rsid w:val="003C23E8"/>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49A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061DC"/>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353E"/>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5489"/>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5EA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3039"/>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1BF0"/>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9F0"/>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5078"/>
    <w:rsid w:val="00B562FA"/>
    <w:rsid w:val="00B56539"/>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BE4"/>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089A"/>
    <w:rsid w:val="00BD1CB0"/>
    <w:rsid w:val="00BD1F5D"/>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1884"/>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956"/>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15927"/>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2C13"/>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4086"/>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61B49197"/>
  <w15:docId w15:val="{5980835A-2020-4E76-AFEE-54277B7F9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2D37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net"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Vorlage_PI_Landtechnik_2026.dotx</Template>
  <TotalTime>0</TotalTime>
  <Pages>4</Pages>
  <Words>572</Words>
  <Characters>3072</Characters>
  <Application>Microsoft Office Word</Application>
  <DocSecurity>0</DocSecurity>
  <Lines>65</Lines>
  <Paragraphs>10</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de nota de prensa</dc:title>
  <dc:subject/>
  <dc:creator>Nadine Berelsmann</dc:creator>
  <cp:keywords/>
  <dc:description/>
  <cp:lastModifiedBy>Berelsmann Nadine</cp:lastModifiedBy>
  <cp:revision>7</cp:revision>
  <cp:lastPrinted>2010-02-24T09:10:00Z</cp:lastPrinted>
  <dcterms:created xsi:type="dcterms:W3CDTF">2026-06-09T08:25:00Z</dcterms:created>
  <dcterms:modified xsi:type="dcterms:W3CDTF">2026-07-02T10:35:00Z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